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95" w:before="0" w:after="120"/>
        <w:outlineLvl w:val="0"/>
        <w:rPr>
          <w:rFonts w:ascii="Tahoma" w:hAnsi="Tahoma" w:eastAsia="Times New Roman" w:cs="Tahoma"/>
          <w:color w:val="332C34"/>
          <w:sz w:val="36"/>
          <w:szCs w:val="36"/>
          <w:lang w:eastAsia="es-ES"/>
        </w:rPr>
      </w:pPr>
      <w:r>
        <w:rPr>
          <w:rFonts w:eastAsia="Times New Roman" w:cs="Tahoma" w:ascii="Tahoma" w:hAnsi="Tahoma"/>
          <w:color w:val="332C34"/>
          <w:sz w:val="36"/>
          <w:szCs w:val="36"/>
          <w:lang w:val="es-ES" w:eastAsia="es-ES"/>
        </w:rPr>
        <w:br/>
      </w:r>
      <w:r>
        <w:rPr>
          <w:rFonts w:eastAsia="Times New Roman" w:cs="Tahoma" w:ascii="Tahoma" w:hAnsi="Tahoma"/>
          <w:color w:val="332C34"/>
          <w:sz w:val="36"/>
          <w:szCs w:val="36"/>
          <w:lang w:eastAsia="es-ES"/>
        </w:rPr>
        <w:t>A 4.ª Convocatoria do Programa IACOBUS supera as expectativas</w:t>
      </w:r>
    </w:p>
    <w:p>
      <w:pPr>
        <w:pStyle w:val="Normal"/>
        <w:spacing w:lineRule="auto" w:line="240"/>
        <w:rPr/>
      </w:pPr>
      <w:r>
        <w:rPr>
          <w:rFonts w:eastAsia="Times New Roman" w:cs="Tahoma" w:ascii="Tahoma" w:hAnsi="Tahoma"/>
          <w:b/>
          <w:bCs/>
          <w:color w:val="332C34"/>
          <w:sz w:val="18"/>
          <w:szCs w:val="18"/>
          <w:lang w:eastAsia="es-ES"/>
        </w:rPr>
        <w:t>A fase de presentación de candidaturas ao Programa IACOBUS, lanzada o 7 de decembro de 2016, terminou o 11 de xaneiro de 2017. O GNP, AECT recibiu 311 candidaturas, presentadas por docentes (PDI), persoal de administración e servizos (PAS) e investigadores de doutoramento e postdoutorais.</w:t>
      </w:r>
    </w:p>
    <w:p>
      <w:pPr>
        <w:pStyle w:val="Normal"/>
        <w:spacing w:lineRule="auto" w:line="240" w:before="0" w:after="120"/>
        <w:rPr>
          <w:rFonts w:ascii="Tahoma" w:hAnsi="Tahoma" w:eastAsia="Times New Roman" w:cs="Tahoma"/>
          <w:color w:val="332C34"/>
          <w:sz w:val="18"/>
          <w:szCs w:val="18"/>
          <w:lang w:eastAsia="es-ES"/>
        </w:rPr>
      </w:pPr>
      <w:r>
        <w:rPr/>
        <w:drawing>
          <wp:inline distT="0" distB="0" distL="0" distR="0">
            <wp:extent cx="1905000" cy="1476375"/>
            <wp:effectExtent l="0" t="0" r="0" b="0"/>
            <wp:docPr id="1" name="Imagen 1" descr="4.ª Convocatória do Programa IACOBUS supera expet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4.ª Convocatória do Programa IACOBUS supera expetativ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360" w:before="0" w:after="180"/>
        <w:jc w:val="both"/>
        <w:rPr>
          <w:rFonts w:ascii="Tahoma" w:hAnsi="Tahoma" w:eastAsia="Times New Roman" w:cs="Tahoma"/>
          <w:color w:val="332C34"/>
          <w:sz w:val="18"/>
          <w:szCs w:val="18"/>
          <w:lang w:eastAsia="es-ES"/>
        </w:rPr>
      </w:pP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Desas candidaturas, 155 son portuguesas, procedentes das Universidades do Minho, UTAD, Porto, Católica Portuguesa e dos Institutos Politécnicos do Porto, Viana do Castelo, Bragança, Cávado e Ave; 156 son de Galicia, con orixe nas Universidades de Vigo, Santiago de Compostela e A Coruña.</w:t>
      </w:r>
    </w:p>
    <w:p>
      <w:pPr>
        <w:pStyle w:val="Normal"/>
        <w:spacing w:lineRule="atLeast" w:line="360" w:before="0" w:after="180"/>
        <w:jc w:val="both"/>
        <w:rPr/>
      </w:pP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Nesta 4ª Convocatoria do Programa Iacobus o período de intercambio vai do 1 de febreiro ata o 30 de xuño de 2017 e ten por obxectivo fomentar a cooperación e a mobilidade académica entre as universidades e centros de ensino superior do Norte de Portugal e de G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al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icia, a través de proxectos com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ú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ns.</w:t>
      </w:r>
    </w:p>
    <w:p>
      <w:pPr>
        <w:pStyle w:val="Normal"/>
        <w:spacing w:lineRule="atLeast" w:line="360" w:before="0" w:after="180"/>
        <w:jc w:val="both"/>
        <w:rPr/>
      </w:pP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As áreas de traballo dos 311 candidatos, abrang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u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en as Ciencias Económicas e Empresariais (Xestión, Econom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í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a, Contabilidade e M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a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rketing), as Ciencias Ambientais e os Recursos Naturais (Agricultura, Forestal e Marítimo), as Ciencias da Saúde (Farmacia, Química Alimentaria…), as Ciencias Sociais (Sociolo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xí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a e Estudos da Comunicación), as Enxeñarías (Civil, Química, Electrónica…) a Informática, o Dereito, o Turismo, as Ciencias da Educación (Historia, L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in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guas e Matemática), as Belas Artes, o Deporte e a Arquite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c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tura.</w:t>
      </w:r>
    </w:p>
    <w:p>
      <w:pPr>
        <w:pStyle w:val="Normal"/>
        <w:spacing w:lineRule="atLeast" w:line="360" w:before="0" w:after="180"/>
        <w:jc w:val="both"/>
        <w:rPr/>
      </w:pP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A Comisión de Selección do programa Iacobus, presidida polo GNP, AECT, en calidade de entidade xestora do programa, integra representantes da Fundación CEER, en representación das Universidades da Euro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r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rexión, da CCDRN e da Xunta de Galicia e reuniuse en Vigo, no mes de xaneiro para sele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c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cionar os candidatos e conceder os 150.000€ que constit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ú</w:t>
      </w: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en a dotación orzamentaria desta convocatoria.</w:t>
      </w:r>
    </w:p>
    <w:p>
      <w:pPr>
        <w:pStyle w:val="Normal"/>
        <w:spacing w:lineRule="atLeast" w:line="360" w:before="0" w:after="180"/>
        <w:jc w:val="both"/>
        <w:rPr/>
      </w:pPr>
      <w:r>
        <w:rPr>
          <w:rFonts w:eastAsia="Times New Roman" w:cs="Tahoma" w:ascii="Tahoma" w:hAnsi="Tahoma"/>
          <w:color w:val="332C34"/>
          <w:sz w:val="18"/>
          <w:szCs w:val="18"/>
          <w:lang w:eastAsia="es-ES"/>
        </w:rPr>
        <w:t>Mais información en: </w:t>
      </w:r>
      <w:hyperlink r:id="rId3">
        <w:r>
          <w:rPr>
            <w:rStyle w:val="EnlacedeInternet"/>
            <w:rFonts w:eastAsia="Times New Roman" w:cs="Tahoma" w:ascii="Tahoma" w:hAnsi="Tahoma"/>
            <w:color w:val="93A1BF"/>
            <w:sz w:val="18"/>
            <w:szCs w:val="18"/>
            <w:u w:val="single"/>
            <w:lang w:eastAsia="es-ES"/>
          </w:rPr>
          <w:t>http://iacobus.gnpaect.eu/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gl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6f91"/>
    <w:rPr>
      <w:rFonts w:ascii="Tahoma" w:hAnsi="Tahoma" w:cs="Tahoma"/>
      <w:sz w:val="16"/>
      <w:szCs w:val="16"/>
      <w:lang w:val="gl-E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d6f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acobus.gnpaect.e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8AF4-2F4E-4062-83F5-CD6589E4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2017-02-02T09:13:00Z</dcterms:created>
  <dc:creator>Cuiñas Rodríguez, Carmen</dc:creator>
  <dc:language>es-ES</dc:language>
  <dcterms:modified xsi:type="dcterms:W3CDTF">2017-02-02T10:30:17Z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